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B" w:rsidRPr="00A448AB" w:rsidRDefault="00A448AB" w:rsidP="00A448AB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МІНІСТЕРСТВО ОСВІТИ І НАУКИ УКРАЇНИ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№ 1/9-523 від 16 серпня 2019 року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Департаменти (управління) освіти</w:t>
      </w: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br/>
        <w:t>і науки обласних, Київської</w:t>
      </w: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br/>
        <w:t>міської державних адміністрацій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Заклади освіти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Заклади післядипломної педагогічної освіти</w:t>
      </w:r>
    </w:p>
    <w:p w:rsidR="00A448AB" w:rsidRDefault="00A448AB" w:rsidP="00A44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val="en-US" w:eastAsia="uk-UA"/>
        </w:rPr>
      </w:pPr>
      <w:r w:rsidRPr="00A448AB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eastAsia="uk-UA"/>
        </w:rPr>
        <w:t>Про національно-патріотичне виховання</w:t>
      </w:r>
      <w:r w:rsidRPr="00A448AB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eastAsia="uk-UA"/>
        </w:rPr>
        <w:br/>
        <w:t>у закладах освіти у 2019/2020 навчальному році</w:t>
      </w:r>
    </w:p>
    <w:p w:rsidR="00A448AB" w:rsidRPr="00A448AB" w:rsidRDefault="00A448AB" w:rsidP="00A44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val="en-US" w:eastAsia="uk-UA"/>
        </w:rPr>
      </w:pPr>
      <w:bookmarkStart w:id="0" w:name="_GoBack"/>
      <w:bookmarkEnd w:id="0"/>
    </w:p>
    <w:p w:rsidR="00A448AB" w:rsidRPr="00A448AB" w:rsidRDefault="00A448AB" w:rsidP="00A448AB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Шановні освітяни!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21 травня 2019 року набув чинності Указ Президента України від 13 травня 2019 року № 286/2019 «Про Стратегію національно-патріотичного виховання» (далі - Указ Президента). Указом Президента визнається таким, що втратив чинність, Указ Президента України від 13 жовтня 2015 року </w:t>
      </w:r>
      <w:hyperlink r:id="rId6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№ 580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 "Про Стратегію національно-патріотичного виховання дітей та молоді на 2016 - 2020 роки", що обумовило безстроковість дії акта Президента України та поширює його дію на всі вікові групи, а не лише на дітей і молодь.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Ключові положення Указу Президента були враховані при підготовці наказу Міністерства освіти і науки України від 29 липня 2019 року № 1038 «Про внесення змін до наказу Міністерства освіти і науки України від 16.06.2015 р. </w:t>
      </w:r>
      <w:hyperlink r:id="rId7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№ 641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» (далі - Наказ). Наказом викладено у новій редакції Концепцію національно-патріотичного виховання в системі освіти України (далі - Концепція), що і як Стратегія національно-патріотичного виховання, затверджена Указом Президента, поширюється на всі вікові групи, та Заходи щодо реалізації Концепції національно-патріотичного виховання в системі освіти України (далі - Заходи).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У новій редакції Концепції зокрема враховано незворотність європейського та євроатлантичного курсу України, яка закріплена змінами до Конституції України, проведення операції Об'єднаних сил, відповідно до Указу Президента уточнено складові національно-патріотичного виховання.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Окремими напрямами реалізації цієї Концепції визначено:</w:t>
      </w:r>
    </w:p>
    <w:p w:rsidR="00A448AB" w:rsidRPr="00A448AB" w:rsidRDefault="00A448AB" w:rsidP="00A448A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lastRenderedPageBreak/>
        <w:t>впровадження громадянської освіти в Україні у відповідності до Концепції розвитку громадянської освіти в Україні, інших документів з розвитку громадянської освіти;</w:t>
      </w:r>
    </w:p>
    <w:p w:rsidR="00A448AB" w:rsidRPr="00A448AB" w:rsidRDefault="00A448AB" w:rsidP="00A448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реалізацію положення про Всеукраїнську дитячо-юнацьку військово-патріотичну гру "Сокіл" ("Джура") та плану заходів з його реалізації (з нормативними матеріалами зазначеної гри можна ознайомитись за посиланням </w:t>
      </w:r>
      <w:hyperlink r:id="rId8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http://ukrjuntur.org.ua/sokil-dzhura/metodychni-rekomendatsii-hry-sokil-dzhura.html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);</w:t>
      </w:r>
    </w:p>
    <w:p w:rsidR="00A448AB" w:rsidRPr="00A448AB" w:rsidRDefault="00A448AB" w:rsidP="00A448A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створення сприятливих умов, встановлених на законодавчому рівні, для діяльності молодіжних організацій, насамперед для розвитку пластового руху в Україні та Спілки Української Молоді, що відновили свою діяльність в Україні із здобуттям незалежності.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Одним із шляхів реалізації національно-патріотичного виховання в системі освіти України як один із видів діяльності органів державної влади та місцевого самоврядування у сфері національно-патріотичного виховання визначено утворення міжшкільних ресурсних центрів, що забезпечуватимуть викладання предмета «Захист Вітчизни».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Наразі створена вся необхідна правова база для утворення такого міжшкільного ресурсного центру як для цілей викладання предмета «Захист Вітчизни», так і для надання позашкільної освіти, здійснення заходів, і спрямованих на національно-патріотичне виховання - 15 лютого 2019 року набув чинності наказ Міністерства освіти і науки України від 09 листопада 2018 року </w:t>
      </w:r>
      <w:hyperlink r:id="rId9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№ 1221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 «Про затвердження Положення про міжшкільний ресурсний центр» (зареєстровано в Міністерстві юстиції України 18 січня 2019 року за № 63/33034).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 метою уніфікації підходів до вимірювання результатів реалізації Концепції, за аналогією зі Стратегією національно-патріотичного виховання, затвердженої Указом Президента, текст Концепції додано розділом 6 «Індикатори ефективності», що дозволять органам державної влади та органам місцевого самоврядування за встановленими рамками досліджувати стан національно-патріотичного виховання.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Концепцією встановлено, що національно-патріотичне виховання в системі освіти впроваджується шляхом реалізації Стратегії національно-патріотичного виховання, затвердженої Указом Президента України від 18 травня 2019 року № 286/2019, (далі - Стратегія), плану дій щодо реалізації Стратегії, державних цільових програм з питань з національно-патріотичного виховання (або </w:t>
      </w: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lastRenderedPageBreak/>
        <w:t>програм, що пов'язані з національно-патріотичним вихованням), обласних, місцевих цільових програм з національно-патріотичного виховання (або програм, що пов'язані з національно-патріотичним вихованням), проведення Заходів щодо реалізації Концепції національно-патріотичного виховання.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Наказ, яким також затверджені Заходи, розміщено на офіційному сайті Міністерства освіти і науки України за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посил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анням </w:t>
      </w:r>
      <w:hyperlink r:id="rId10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https://mon.gov.ua/ua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 у розділі «Законодавство». Нормативно-правова база з питань національно-патріотичного виховання розміщено за наступним посиланням </w:t>
      </w:r>
      <w:hyperlink r:id="rId11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https://imzo.gov.ua/osvita/pozashkilna-osvita-ta-vihovna-robota/natsionalno-patriotichne-vihovannya-ditey-ta-molodi/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Формування патріотизму в українському суспільстві залишається першочерговим як для держави, так і для системи освіти в цілому. У зв'язку з цим національно-патріотичне виховання є важливою складовою освітнього процесу.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Головне завдання закладів освіти -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ідентичності, самобутності. Завдання педагогів полягає у тому, щоб слова «Україна», «патріотизм» набували для дитини особливого сенсу, тобто сприймалися «не лише розумом, а й серцем». Не менш важливим є повсякденне виховання поваги до Конституції держави, законодавства, державних символів - Герба, Прапора, Гімну. Важливим аспектом національно-патріотичного виховання є повага та любов до державної мови. Мовне середовище повинно впливати на формування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учня-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громадянина, патріота України.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Однією з основних тенденцій розвитку виховання в сучасній українській школі має стати пошук форм «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діяльнісного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патріотизму» (творчі групи, осередки, екскурсії, свята, ігри-драматизації, спортивні змагання, естафети, огляди-конкурси, олімпіади, шкільні музеї, тематичні стенди, кімнати, зали, галереї, виставки дитячої творчості, книжкові виставки, творчі завдання, проекти, звіти, індивідуальні роботи, театр-експромт, колективні творчі справи, колективне творче панно,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флешмоби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, виставки-конкурси, фестивалі, туристичні походи тощо).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lastRenderedPageBreak/>
        <w:t>Рекомендуємо під час проведення заходів організовувати зустрічі з учасниками бойових дій, волонтерами; відвідування військовослужбовців, які отримали поранення та проходять реабілітацію; виступи дитячих творчих колективів та інше.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Варто зазначити, що питання національно-патріотичного виховання розкривається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наскрізно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в рамках програми «Нова українська школа» у поступі до цінностей», яка розглянута та затверджена Вченими радами Інституту проблем виховання (протокол № 6 від 02 липня 2015 року) та Інституту модернізації змісту освіти (протокол № 7 від 26 вересня 2018 року). З програмою можна ознайомитися за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посил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анням </w:t>
      </w:r>
      <w:hyperlink r:id="rId12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https://ipv.org.ua/prohrama-nova-ukrainska-shkola/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 метою вивчення та популяризації кращого педагогічного досвіду, в тому числі з питань національно-патріотичного виховання на офіційному сайті ДНУ «Інститут модернізації змісту освіти» розміщено банк даних досвіду виховної роботи (</w:t>
      </w:r>
      <w:hyperlink r:id="rId13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https://imzo.gov.ua/osvita/pozashkilna-osvita-ta-vihovna-robota/bank-dosvidu-vihovnoyi-roboti/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  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Національно-патріотичне виховання молодого покоління неможливе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безvвідповідних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заходів щодо відзначення важливих пам'ятних та ювілейних дат,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vперелік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яких можна знайти за наступним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посил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анням </w:t>
      </w:r>
      <w:hyperlink r:id="rId14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https://zakon.rada.gov.ua/laws/show/2654-19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При плануванні виховної роботи з національно-патріотичного напряму пропонуємо використовувати методичні матеріали Українського інституту національної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пам'я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ті </w:t>
      </w:r>
      <w:hyperlink r:id="rId15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https://www.memory.gov.ua/methodic-materials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Питання національно-патріотичного виховання та громадянської освіти також всебічно висвітлено в матеріалах, які схвалені для використання в закладах загальної середньої освіти, а саме: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1. Навчально-методичний комплект «Навчаюсь. Дію. Захищаю» початкова школа, 1-4 класи «Пригоди Тарі»/ (автор. колектив: Андросюк В. Є. Андросюк О. Р., Андросюк О. В., Андросюк Л. В.,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Алмазов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О. В.,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Алчасова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І. М.,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Левінштейн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Є. В.,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Рассоха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М. Й.,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Семякін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 О. В.). Зазначені матеріали можна знайти за наступним посиланням </w:t>
      </w:r>
      <w:hyperlink r:id="rId16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https://imzo.gov.ua/osvita/pozashkilna-osvita-ta-vihovna-robota-shvaleni-rukopisi/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 xml:space="preserve">2. Науково-методичний посібник «Ключові напрями українського патріотичного виховання дітей та учнівської молоді» (автори: І. Д.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Бех</w:t>
      </w:r>
      <w:proofErr w:type="spellEnd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, К. І. Чорна).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lastRenderedPageBreak/>
        <w:t>3. Аудіовізуальний твір національно-патріотичного кінопроекту «Слава Україні! - Героям Слава!» (Союз молодих кінематографістів України «10 Муза»).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4. Навчальні - програми з позашкільної освіти військово-патріотичного напряму розміщені за посиланням </w:t>
      </w:r>
      <w:hyperlink r:id="rId17" w:history="1">
        <w:r w:rsidRPr="00A448AB">
          <w:rPr>
            <w:rFonts w:ascii="Times New Roman" w:eastAsia="Times New Roman" w:hAnsi="Times New Roman" w:cs="Times New Roman"/>
            <w:color w:val="8C8282"/>
            <w:sz w:val="32"/>
            <w:szCs w:val="21"/>
            <w:bdr w:val="none" w:sz="0" w:space="0" w:color="auto" w:frame="1"/>
            <w:lang w:eastAsia="uk-UA"/>
          </w:rPr>
          <w:t>https://imzo.gov.ua/osvita/pozashkilna-osvita-ta-vihovna-robota/navchalni-programi/viyskovo-patriotichniy-napryam/</w:t>
        </w:r>
      </w:hyperlink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 та інше.</w:t>
      </w:r>
    </w:p>
    <w:p w:rsidR="00A448AB" w:rsidRPr="00A448AB" w:rsidRDefault="00A448AB" w:rsidP="00A448A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Зміст листа просимо довести до відома керівників органів управління освітою різного рівня, керівників та педагогічних працівників закладів освіти для використання при плануванні виховної роботи з учнівськими колективами.</w:t>
      </w:r>
    </w:p>
    <w:p w:rsidR="00A448AB" w:rsidRPr="00A448AB" w:rsidRDefault="00A448AB" w:rsidP="00A4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З повагою</w:t>
      </w:r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br/>
        <w:t xml:space="preserve">перший заступник Міністра                           Павло </w:t>
      </w:r>
      <w:proofErr w:type="spellStart"/>
      <w:r w:rsidRPr="00A448AB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Хобзей</w:t>
      </w:r>
      <w:proofErr w:type="spellEnd"/>
    </w:p>
    <w:p w:rsidR="009922A9" w:rsidRPr="00A448AB" w:rsidRDefault="009922A9">
      <w:pPr>
        <w:rPr>
          <w:rFonts w:ascii="Times New Roman" w:hAnsi="Times New Roman" w:cs="Times New Roman"/>
          <w:sz w:val="36"/>
        </w:rPr>
      </w:pPr>
    </w:p>
    <w:sectPr w:rsidR="009922A9" w:rsidRPr="00A44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AC8"/>
    <w:multiLevelType w:val="multilevel"/>
    <w:tmpl w:val="724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FA"/>
    <w:rsid w:val="00026845"/>
    <w:rsid w:val="00036B9B"/>
    <w:rsid w:val="000653F1"/>
    <w:rsid w:val="000D6EC1"/>
    <w:rsid w:val="000E7E59"/>
    <w:rsid w:val="001770EA"/>
    <w:rsid w:val="001E52C8"/>
    <w:rsid w:val="00231272"/>
    <w:rsid w:val="00286A47"/>
    <w:rsid w:val="00323229"/>
    <w:rsid w:val="003533C0"/>
    <w:rsid w:val="00363057"/>
    <w:rsid w:val="00370901"/>
    <w:rsid w:val="00385CF4"/>
    <w:rsid w:val="003C36B6"/>
    <w:rsid w:val="003D1945"/>
    <w:rsid w:val="004213D0"/>
    <w:rsid w:val="00436816"/>
    <w:rsid w:val="00446976"/>
    <w:rsid w:val="00454273"/>
    <w:rsid w:val="004C3DB9"/>
    <w:rsid w:val="005161CD"/>
    <w:rsid w:val="00524994"/>
    <w:rsid w:val="0054098E"/>
    <w:rsid w:val="005549F7"/>
    <w:rsid w:val="00661CC4"/>
    <w:rsid w:val="00680635"/>
    <w:rsid w:val="006A4082"/>
    <w:rsid w:val="00735810"/>
    <w:rsid w:val="00763BF8"/>
    <w:rsid w:val="007F12AF"/>
    <w:rsid w:val="0084133F"/>
    <w:rsid w:val="00870C33"/>
    <w:rsid w:val="00877126"/>
    <w:rsid w:val="009776A9"/>
    <w:rsid w:val="00990519"/>
    <w:rsid w:val="009922A9"/>
    <w:rsid w:val="009B7779"/>
    <w:rsid w:val="009D1A40"/>
    <w:rsid w:val="00A27161"/>
    <w:rsid w:val="00A448AB"/>
    <w:rsid w:val="00A46DA5"/>
    <w:rsid w:val="00A52EC4"/>
    <w:rsid w:val="00A55769"/>
    <w:rsid w:val="00A87422"/>
    <w:rsid w:val="00AA34E9"/>
    <w:rsid w:val="00AB53E6"/>
    <w:rsid w:val="00B217D9"/>
    <w:rsid w:val="00BA30D6"/>
    <w:rsid w:val="00BC13D2"/>
    <w:rsid w:val="00C37CFA"/>
    <w:rsid w:val="00C768C2"/>
    <w:rsid w:val="00CB1917"/>
    <w:rsid w:val="00D10CEC"/>
    <w:rsid w:val="00D92FCC"/>
    <w:rsid w:val="00D956FD"/>
    <w:rsid w:val="00DA7E9A"/>
    <w:rsid w:val="00DE381D"/>
    <w:rsid w:val="00E02A58"/>
    <w:rsid w:val="00E60CBD"/>
    <w:rsid w:val="00ED0A5D"/>
    <w:rsid w:val="00F077F0"/>
    <w:rsid w:val="00F21450"/>
    <w:rsid w:val="00F2661D"/>
    <w:rsid w:val="00F410B4"/>
    <w:rsid w:val="00F644D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448AB"/>
    <w:rPr>
      <w:b/>
      <w:bCs/>
    </w:rPr>
  </w:style>
  <w:style w:type="character" w:styleId="a5">
    <w:name w:val="Hyperlink"/>
    <w:basedOn w:val="a0"/>
    <w:uiPriority w:val="99"/>
    <w:semiHidden/>
    <w:unhideWhenUsed/>
    <w:rsid w:val="00A44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448AB"/>
    <w:rPr>
      <w:b/>
      <w:bCs/>
    </w:rPr>
  </w:style>
  <w:style w:type="character" w:styleId="a5">
    <w:name w:val="Hyperlink"/>
    <w:basedOn w:val="a0"/>
    <w:uiPriority w:val="99"/>
    <w:semiHidden/>
    <w:unhideWhenUsed/>
    <w:rsid w:val="00A4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juntur.org.ua/sokil-dzhura/metodychni-rekomendatsii-hry-sokil-dzhura.html" TargetMode="External"/><Relationship Id="rId13" Type="http://schemas.openxmlformats.org/officeDocument/2006/relationships/hyperlink" Target="https://imzo.gov.ua/osvita/pozashkilna-osvita-ta-vihovna-robota/bank-dosvidu-vihovnoyi-robot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Ser_osv/47154/" TargetMode="External"/><Relationship Id="rId12" Type="http://schemas.openxmlformats.org/officeDocument/2006/relationships/hyperlink" Target="https://ipv.org.ua/prohrama-nova-ukrainska-shkola/" TargetMode="External"/><Relationship Id="rId17" Type="http://schemas.openxmlformats.org/officeDocument/2006/relationships/hyperlink" Target="https://imzo.gov.ua/osvita/pozashkilna-osvita-ta-vihovna-robota/navchalni-programi/viyskovo-patriotichniy-napry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osvita/pozashkilna-osvita-ta-vihovna-robota-shvaleni-rukopi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pozashk_osv/48106/" TargetMode="External"/><Relationship Id="rId11" Type="http://schemas.openxmlformats.org/officeDocument/2006/relationships/hyperlink" Target="https://imzo.gov.ua/osvita/pozashkilna-osvita-ta-vihovna-robota/natsionalno-patriotichne-vihovannya-ditey-ta-molod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mory.gov.ua/methodic-materials" TargetMode="External"/><Relationship Id="rId10" Type="http://schemas.openxmlformats.org/officeDocument/2006/relationships/hyperlink" Target="https://mon.gov.ua/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63564/" TargetMode="External"/><Relationship Id="rId14" Type="http://schemas.openxmlformats.org/officeDocument/2006/relationships/hyperlink" Target="https://zakon.rada.gov.ua/laws/show/265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6408</Words>
  <Characters>3654</Characters>
  <Application>Microsoft Office Word</Application>
  <DocSecurity>0</DocSecurity>
  <Lines>30</Lines>
  <Paragraphs>20</Paragraphs>
  <ScaleCrop>false</ScaleCrop>
  <Company>home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2020-04-02T08:53:00Z</dcterms:created>
  <dcterms:modified xsi:type="dcterms:W3CDTF">2020-04-02T08:54:00Z</dcterms:modified>
</cp:coreProperties>
</file>