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/>
            </w:pPr>
            <w:r>
              <w:rPr/>
              <w:drawing>
                <wp:inline distT="9525" distB="9525" distL="9525" distR="9525">
                  <wp:extent cx="571500" cy="76200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8"/>
                <w:u w:val="none"/>
                <w:effect w:val="none"/>
              </w:rPr>
              <w:t>МІНІСТЕРСТВО ОСВІТИ І НАУКИ УКРАЇНИ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2"/>
                <w:u w:val="none"/>
                <w:effect w:val="none"/>
              </w:rPr>
              <w:t>НАКАЗ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450" w:right="45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17.05.2013  № 546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0" w:name="n3"/>
      <w:bookmarkStart w:id="1" w:name="n3"/>
      <w:bookmarkEnd w:id="1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5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Зареєстровано в Міністерстві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юстиції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 червня 2013 р.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 № 842/23374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300" w:after="4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</w:pPr>
      <w:bookmarkStart w:id="2" w:name="n4"/>
      <w:bookmarkEnd w:id="2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 xml:space="preserve">Про затвердження </w:t>
      </w:r>
      <w:bookmarkStart w:id="3" w:name="__DdeLink__119_965167418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Положення про Всеукраїнський інтерактивний конкурс "МАН-Юніор Дослідник</w:t>
      </w:r>
      <w:bookmarkEnd w:id="3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"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30"/>
          <w:sz w:val="24"/>
          <w:u w:val="none"/>
          <w:effect w:val="none"/>
        </w:rPr>
      </w:pPr>
      <w:bookmarkStart w:id="4" w:name="n5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Відповідно до статей 4 і 6 </w:t>
      </w:r>
      <w:hyperlink r:id="rId3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Закону України "Про позашкільну освіту"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та </w:t>
      </w:r>
      <w:r>
        <w:fldChar w:fldCharType="begin"/>
      </w:r>
      <w:r>
        <w:instrText> HYPERLINK "https://zakon.rada.gov.ua/laws/show/240/2013" \l "n41" \n _blank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підпункту 9 пункту 4 Положення про Міністерство освіти і науки України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затвердженого Указом Президента України від 25 квітня 2013 року № 240, з метою виявлення, розвитку й підтримки обдарованої учнівської та студентської молоді, залучення її до науково-дослідницької діяльності 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30"/>
          <w:sz w:val="24"/>
          <w:u w:val="none"/>
          <w:effect w:val="none"/>
        </w:rPr>
        <w:t>НАКАЗУЮ: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" w:name="n6"/>
      <w:bookmarkEnd w:id="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 Затвердити </w:t>
      </w:r>
      <w:r>
        <w:fldChar w:fldCharType="begin"/>
      </w:r>
      <w:r>
        <w:instrText> HYPERLINK "https://zakon.rada.gov.ua/laws/show/z0842-13" \l "n13"</w:instrText>
      </w:r>
      <w:r>
        <w:fldChar w:fldCharType="separate"/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Положення про Всеукраїнський інтерактивний конкурс "МАН-Юніор Дослідник"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, що додається.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" w:name="n7"/>
      <w:bookmarkEnd w:id="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 Департаменту професійно-технічної освіти (Супрун В. В.) забезпечити подання цього наказу на державну реєстрацію до Міністерства юстиції України в установленому законодавством порядку.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" w:name="n8"/>
      <w:bookmarkEnd w:id="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 Контроль за виконанням цього наказу покласти на заступника Міністра Жебровського Б.М.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" w:name="n9"/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 Цей наказ набирає чинності з дня його офіційного опублікування.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9" w:name="n10"/>
      <w:bookmarkStart w:id="10" w:name="n10"/>
      <w:bookmarkEnd w:id="10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48"/>
        <w:gridCol w:w="5589"/>
      </w:tblGrid>
      <w:tr>
        <w:trPr>
          <w:cantSplit w:val="false"/>
        </w:trPr>
        <w:tc>
          <w:tcPr>
            <w:tcW w:w="404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Міністр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Д.В. Табачник</w:t>
            </w:r>
          </w:p>
        </w:tc>
      </w:tr>
    </w:tbl>
    <w:p>
      <w:pPr>
        <w:pStyle w:val="Style22"/>
        <w:rPr/>
      </w:pPr>
      <w:bookmarkStart w:id="11" w:name="n119"/>
      <w:bookmarkStart w:id="12" w:name="n119"/>
      <w:bookmarkEnd w:id="12"/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hanging="0"/>
        <w:jc w:val="both"/>
        <w:rPr/>
      </w:pPr>
      <w:bookmarkStart w:id="13" w:name="n118"/>
      <w:bookmarkStart w:id="14" w:name="n118"/>
      <w:bookmarkEnd w:id="14"/>
      <w:r>
        <w:rPr/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5" w:name="n11"/>
      <w:bookmarkStart w:id="16" w:name="n11"/>
      <w:bookmarkEnd w:id="16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6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ЗАТВЕРДЖЕНО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Наказ Міністерства освіти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і науки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17.05.2013  № 546</w:t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7" w:name="n12"/>
      <w:bookmarkStart w:id="18" w:name="n12"/>
      <w:bookmarkEnd w:id="18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782"/>
        <w:gridCol w:w="3855"/>
      </w:tblGrid>
      <w:tr>
        <w:trPr>
          <w:cantSplit w:val="false"/>
        </w:trPr>
        <w:tc>
          <w:tcPr>
            <w:tcW w:w="578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Зареєстровано в Міністерстві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юстиції України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1 червня 2013 р.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за № 842/23374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300" w:after="4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</w:pPr>
      <w:bookmarkStart w:id="19" w:name="n13"/>
      <w:bookmarkEnd w:id="19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ПОЛОЖЕННЯ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32"/>
          <w:u w:val="none"/>
          <w:effect w:val="none"/>
        </w:rPr>
        <w:t>про Всеукраїнський інтерактивний конкурс "МАН-Юніор Дослідник"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20" w:name="n14"/>
      <w:bookmarkEnd w:id="2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І. Загальні положення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1" w:name="n15"/>
      <w:bookmarkEnd w:id="2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1.1. Це Положення визначає порядок проведення Всеукраїнського інтерактивного конкурсу "МАН-Юніор Дослідник" (далі - Конкурс).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2" w:name="n16"/>
      <w:bookmarkEnd w:id="2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1.2. Конкурс проводиться щороку з метою виявлення та підтримки обдарованої молоді, залучення її до науково-дослідницької діяльності та винахідництва.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3" w:name="n17"/>
      <w:bookmarkEnd w:id="2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1.3. Завданнями Конкурсу є: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4" w:name="n18"/>
      <w:bookmarkEnd w:id="2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залучення учнів (вихованців) 7-10 класів загальноосвітніх навчальних закладів, вихованців (учнів, слухачів) позашкільних навчальних закладів (далі - учасники) до поглибленого вивчення фізико-математичних, технічних і природничих дисциплін, а також історії розвитку науки;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5" w:name="n19"/>
      <w:bookmarkEnd w:id="2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активізація пошуково-дослідницької діяльності учасників, залучення їх до гуртків і секцій наукових відділень Малої академії наук України (далі - МАНУ);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6" w:name="n20"/>
      <w:bookmarkEnd w:id="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стимулювання творчого самовдосконалення учасників;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7" w:name="n21"/>
      <w:bookmarkEnd w:id="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формування екологічної свідомості учасників.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8" w:name="n22"/>
      <w:bookmarkEnd w:id="2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1.4. Конкурс проводиться на добровільних засадах та є відкритим для учнів (вихованців) 7-10 класів загальноосвітніх навчальних закладів і вихованців (учнів, слухачів) позашкільних навчальних закладів.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29" w:name="n23"/>
      <w:bookmarkEnd w:id="2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1.5. Організаційно-методичне забезпечення проведення Конкурсу здійснює Національний центр "Мала академія наук України" (далі - НЦ "МАНУ").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0" w:name="n24"/>
      <w:bookmarkEnd w:id="3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Співорганізаторами Конкурсу можуть бути вищі навчальні заклади, підприємства, установи, організації (за згодою).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1" w:name="n25"/>
      <w:bookmarkEnd w:id="3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1.6. Інформація про проведення Конкурсу розміщується на офіційних веб-сайтах Міністерства освіти і науки України (далі - МОН України) та НЦ "МАНУ", а також у засобах масової інформації не пізніше ніж за один місяць до початку його проведення.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2" w:name="n26"/>
      <w:bookmarkEnd w:id="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1.7. Під час проведення Конкурсу обробка персональних даних учасників здійснюється з урахуванням вимог </w:t>
      </w:r>
      <w:hyperlink r:id="rId4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4"/>
            <w:u w:val="single"/>
            <w:shd w:fill="auto" w:val="clear"/>
          </w:rPr>
          <w:t>Закону України "Про захист персональних даних"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33" w:name="n27"/>
      <w:bookmarkEnd w:id="33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ІІ. Порядок і строки проведення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4" w:name="n28"/>
      <w:bookmarkEnd w:id="3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2.1. Конкурс проводиться у два етапи: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5" w:name="n29"/>
      <w:bookmarkEnd w:id="3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 етап - заочний;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6" w:name="n30"/>
      <w:bookmarkEnd w:id="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ІІ етап - захист проекту в онлайн-режимі за допомогою мережі Інтернет або очно на базі визначених організаційним комітетом територіальних відділень МАНУ за погодженням із учасниками та їх керівниками.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7" w:name="n31"/>
      <w:bookmarkEnd w:id="3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2.2. Строки проведення Конкурсу, щорічна тематика та номінації визначаються МОН України та повідомляються листом органу виконавчої влади Автономної Республіки Крим у сфері освіти, місцевим органам управління освітою в областях, містах Києві та Севастополі не пізніше ніж за один місяць до початку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8" w:name="n32"/>
      <w:bookmarkEnd w:id="3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2.3. Інформаційні матеріали Конкурсу розміщуються на веб-сайтах: www.man.gov.ua та http://man-junior.org.ua (далі - сайти Конкурсу), а також у засобах масової інформації не пізніше ніж за один місяць до початку проведення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39" w:name="n33"/>
      <w:bookmarkEnd w:id="3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2.4. Для участі в І етапі Конкурсу необхідно надіслати на електронну адресу junior.konkurs@gmail.com або на компакт-диску на поштову адресу організаційного комітету не пізніше ніж за 2 тижні до їх оприлюднення на сайтах Конкурсу такі документи: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fldChar w:fldCharType="begin"/>
      </w:r>
      <w:r>
        <w:instrText> HYPERLINK "https://zakon.rada.gov.ua/laws/show/z0842-13" \l "n113"</w:instrText>
      </w:r>
      <w:r>
        <w:fldChar w:fldCharType="separate"/>
      </w:r>
      <w:bookmarkStart w:id="40" w:name="n34"/>
      <w:bookmarkEnd w:id="40"/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u w:val="single"/>
          <w:shd w:fill="auto" w:val="clear"/>
        </w:rPr>
        <w:t>заявку на участь у І етапі Всеукраїнського інтерактивного конкурсу "МАН-Юніор Дослідник"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 за формою, що додається;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1" w:name="n35"/>
      <w:bookmarkEnd w:id="4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проект, оформлений у форматі презентації в програмі "Power Point";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2" w:name="n36"/>
      <w:bookmarkEnd w:id="4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тези творчої роботи.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3" w:name="n37"/>
      <w:bookmarkEnd w:id="4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2.5. Презентації та тези творчих робіт розміщуються на сайтах Конкурсу для відкритого рейтингового оцінювання.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4" w:name="n38"/>
      <w:bookmarkEnd w:id="4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 відкритому рейтинговому оцінюванні творчих робіт беруть участь усі керівники учасників, роботи яких представлені на Конкурсі.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5" w:name="n39"/>
      <w:bookmarkEnd w:id="4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Керівники мають право оцінювати всі творчі роботи, окрім тих, які виконували їхні учні.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6" w:name="n40"/>
      <w:bookmarkEnd w:id="4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2.6. Оцінювання проектів здійснюється за такими критеріями: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7" w:name="n41"/>
      <w:bookmarkEnd w:id="4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відповідність темі Конкурсу - до 2 балів;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8" w:name="n42"/>
      <w:bookmarkEnd w:id="4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послідовність, логічність, науковість викладу - до 3 балів;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49" w:name="n43"/>
      <w:bookmarkEnd w:id="4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оригінальність, самостійність виконання, особистий внесок автора - до 4 балів;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0" w:name="n44"/>
      <w:bookmarkEnd w:id="5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грамотність та якість оформлення - до 1 бала.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1" w:name="n45"/>
      <w:bookmarkEnd w:id="5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Максимальна сума балів, яку може отримати учасник від одного експерта в результаті заочного оцінювання проекту, - 10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2" w:name="n46"/>
      <w:bookmarkEnd w:id="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Загальна оцінка, яку може отримати учасник за заочне рейтингове оцінювання творчої роботи, визначається автоматично як середнє арифметичне з усіх оцінок, виставлених за творчу роботу.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3" w:name="n47"/>
      <w:bookmarkEnd w:id="5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2.7. До участі в ІІ етапі Конкурсу запрошуються автори творчих робіт, які за підсумками відкритого рейтингового оцінювання отримали не менше ніж 5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4" w:name="n48"/>
      <w:bookmarkEnd w:id="5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Список учасників ІІ етапу Конкурсу оприлюднюється на сайтах Конкурсу не пізніше ніж через п’ять днів після завершення І етапу.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55" w:name="n49"/>
      <w:bookmarkEnd w:id="55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ІІІ. Учасники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6" w:name="n50"/>
      <w:bookmarkEnd w:id="5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3.1. У Конкурсі беруть участь учні (вихованці) 7-10 класів загальноосвітніх навчальних закладів і вихованці (учні, слухачі) позашкільних навчальних закладів.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7" w:name="n51"/>
      <w:bookmarkEnd w:id="5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3.2. Учасники мають право ознайомитись з результатами Конкурсу та висловити свої зауваження і побажання щодо його проведення, змісту завдань, результатів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58" w:name="n52"/>
      <w:bookmarkEnd w:id="5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3.3. Учасники зобов’язані дотримуватись вимог цього Положення, програми Конкурсу, норм поведінки та правил техніки безпеки.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59" w:name="n53"/>
      <w:bookmarkEnd w:id="59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IV. Організаційний комітет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0" w:name="n54"/>
      <w:bookmarkEnd w:id="6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4.1. Для організації та проведення Конкурсу створюється наказом НЦ "МАНУ" організаційний комітет.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1" w:name="n55"/>
      <w:bookmarkEnd w:id="6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4.2. До складу організаційного комітету входять представники МОН України, НЦ "МАНУ", позашкільних і вищих навчальних закладів, представники установ, підприємств, організацій (за згодою).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2" w:name="n56"/>
      <w:bookmarkEnd w:id="6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4.3. Очолює організаційний комітет голова.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3" w:name="n57"/>
      <w:bookmarkEnd w:id="6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4.4. Голова організаційного комітету: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4" w:name="n58"/>
      <w:bookmarkEnd w:id="6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визначає та розподіляє повноваження членів організаційного комітету, здійснює загальне керівництво підготовкою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5" w:name="n59"/>
      <w:bookmarkEnd w:id="6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керує поточною роботою з організації, підготовки та проведення Конкурсу, здійснює його координацію.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6" w:name="n60"/>
      <w:bookmarkEnd w:id="6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4.5. Члени організаційного комітету: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7" w:name="n61"/>
      <w:bookmarkEnd w:id="6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здійснюють організаційну роботу щодо проведення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8" w:name="n62"/>
      <w:bookmarkEnd w:id="6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забезпечують дотримання порядку проведення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69" w:name="n63"/>
      <w:bookmarkEnd w:id="6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4.6. Секретар організаційного комітету: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0" w:name="n64"/>
      <w:bookmarkEnd w:id="7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оформляє документацію щодо проведення та підбиття підсумків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1" w:name="n65"/>
      <w:bookmarkEnd w:id="7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сприяє висвітленню результатів Конкурсу в засобах масової інформації.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72" w:name="n66"/>
      <w:bookmarkEnd w:id="72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V. Журі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3" w:name="n67"/>
      <w:bookmarkEnd w:id="7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5.1. Журі Конкурсу формується організаційним комітетом Конкурсу з метою забезпечення об’єктивності оцінювання творчих проектів його учасників та визначення переможців і призерів.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4" w:name="n68"/>
      <w:bookmarkEnd w:id="7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5.2. Журі Конкурсу формується з числа наукових і педагогічних працівників загальноосвітніх, позашкільних і вищих навчальних закладів, а також студентів, які мають досвід проведення дослідницької роботи та були в школі активними членами МАНУ (за згодою).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5" w:name="n69"/>
      <w:bookmarkEnd w:id="7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5.3. Журі Конкурсу аналізує рівень підготовки учасників, готує подання організаційному комітету про нагородження переможців, складає відповідний звіт.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6" w:name="n70"/>
      <w:bookmarkEnd w:id="7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5.4. До складу журі з кожної номінації Конкурсу входять: голова журі, члени та секретар журі.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7" w:name="n71"/>
      <w:bookmarkEnd w:id="7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5.5. Склад журі затверджується наказом НЦ "МАНУ".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8" w:name="n72"/>
      <w:bookmarkEnd w:id="7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 складу журі не можуть входити близькі особи учасників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79" w:name="n73"/>
      <w:bookmarkEnd w:id="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5.6. Журі з кожної номінації Конкурсу очолює голова.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0" w:name="n74"/>
      <w:bookmarkEnd w:id="8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Голова журі: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1" w:name="n75"/>
      <w:bookmarkEnd w:id="8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організовує роботу членів журі;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2" w:name="n76"/>
      <w:bookmarkEnd w:id="8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проводить засідання журі;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3" w:name="n77"/>
      <w:bookmarkEnd w:id="8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бере участь у визначенні переможців і призерів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4" w:name="n78"/>
      <w:bookmarkEnd w:id="8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затверджує список переможців і призерів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5" w:name="n79"/>
      <w:bookmarkEnd w:id="8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5.7. Члени журі: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6" w:name="n80"/>
      <w:bookmarkEnd w:id="8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беруть участь в оцінюванні творчих робіт (проектів) учасників Конкурсу;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7" w:name="n81"/>
      <w:bookmarkEnd w:id="8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заповнюють оцінювальні протоколи;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8" w:name="n82"/>
      <w:bookmarkEnd w:id="8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визначають переможців та призерів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89" w:name="n83"/>
      <w:bookmarkEnd w:id="8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5.8. Секретар журі: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0" w:name="n84"/>
      <w:bookmarkEnd w:id="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забезпечує збереження поданих на Конкурс матеріалів;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1" w:name="n85"/>
      <w:bookmarkEnd w:id="9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забезпечує систематизацію та оформлення документації Конкурсу.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92" w:name="n86"/>
      <w:bookmarkEnd w:id="92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VІ. Вимоги до проектів і тез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3" w:name="n87"/>
      <w:bookmarkEnd w:id="9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6.1. Вимоги до проектів: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4" w:name="n88"/>
      <w:bookmarkEnd w:id="9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6.1.1. Учасник Конкурсу готує проект на обрану тему, що відповідає оголошеній заздалегідь організаційним комітетом загальній тематиці. При цьому проекти повинні бути присвячені проблемі або задачі, що є складовими теми Конкурсу. У проектах можна представляти цікаві експерименти, досліди, прилади та пристрої, винаходи, удосконалення технічних систем, методик досліджень та інше.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5" w:name="n89"/>
      <w:bookmarkEnd w:id="9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6.1.2. Проект повинен містити висновки, аналіз проведеної роботи та отримані результати реалізації проекту; список використаних джерел.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6" w:name="n90"/>
      <w:bookmarkEnd w:id="9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6.1.3. Проекти можуть бути виконані та представлені групою учасників конкурсу. З доповіддю на on-line-захисті в цьому разі виступають представники групи (не більше ніж 1-3 учасники).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7" w:name="n91"/>
      <w:bookmarkEnd w:id="9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6.1.4. Проект оформляється у формі презентації в програмі "Power Point". Кількість слайдів у презентації - не більше 15.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8" w:name="n92"/>
      <w:bookmarkEnd w:id="9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6.2. Вимоги до тез: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99" w:name="n93"/>
      <w:bookmarkEnd w:id="9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6.2.1. До презентації додаються тези проекту, де зазначаються: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0" w:name="n94"/>
      <w:bookmarkEnd w:id="10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тема проекту;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1" w:name="n95"/>
      <w:bookmarkEnd w:id="10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прізвище, ім’я та по батькові автора проекту; номер контактного телефону; електронна адреса;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2" w:name="n96"/>
      <w:bookmarkEnd w:id="10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місце проживання;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3" w:name="n97"/>
      <w:bookmarkEnd w:id="10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найменування навчального закладу, клас;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4" w:name="n98"/>
      <w:bookmarkEnd w:id="10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стисла характеристика змісту проекту з визначенням основної мети, актуальності та завдань дослідження;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5" w:name="n99"/>
      <w:bookmarkEnd w:id="105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прізвище, ім’я та по батькові посада (за наявності - науковий ступінь, учене звання) керівника, місце роботи, посада.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6" w:name="n100"/>
      <w:bookmarkEnd w:id="10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6.2.2. Об’єм тез не повинен перевищувати двох сторінок (4000 друкованих символів шрифтом Times New Roman, 14; інтервал - 1,5).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07" w:name="n101"/>
      <w:bookmarkEnd w:id="107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VІІ. Визначення та нагородження переможців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8" w:name="n102"/>
      <w:bookmarkEnd w:id="10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7.1. Переможці та призери Конкурсу визначаються журі у кожній номінації окремо за кількістю набраних ними балів.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09" w:name="n103"/>
      <w:bookmarkEnd w:id="10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7.2. Переможці ІІ етапу Конкурсу, які отримали найбільшу кількість балів (але не більше 50% від загальної кількості учасників ІІ етапу), нагороджуються дипломами НЦ "МАНУ" І, ІІ, ІІІ ступеня.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0" w:name="n104"/>
      <w:bookmarkEnd w:id="11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7.3. Учасники ІІ етапу Конкурсу нагороджуються дипломами учасника.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1" w:name="n105"/>
      <w:bookmarkEnd w:id="1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7.4. Якщо над проектом працювали учасники у складі творчих груп, то дипломами нагороджуються учнівські колективи навчальних закладів, відділень МАНУ.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2" w:name="n106"/>
      <w:bookmarkEnd w:id="11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7.5. Результати проведення Конкурсу затверджуються наказом МОН України.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3" w:name="n107"/>
      <w:bookmarkEnd w:id="113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7.6. Кращі проекти публікуються в науково-педагогічних і науково-художніх виданнях для дітей та юнацтва за підтримки НЦ "МАНУ" (за згодою автора).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4" w:name="n108"/>
      <w:bookmarkEnd w:id="114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7.7. Керівники, які підготували переможців та призерів Конкурсу, відзначаються подяками НЦ "МАНУ".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15" w:name="n109"/>
      <w:bookmarkEnd w:id="115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VІІІ. Умови фінансування Конкурсу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firstLine="45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16" w:name="n110"/>
      <w:bookmarkEnd w:id="11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17" w:name="n111"/>
      <w:bookmarkStart w:id="118" w:name="n111"/>
      <w:bookmarkEnd w:id="118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047"/>
        <w:gridCol w:w="5590"/>
      </w:tblGrid>
      <w:tr>
        <w:trPr>
          <w:cantSplit w:val="false"/>
        </w:trPr>
        <w:tc>
          <w:tcPr>
            <w:tcW w:w="40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150"/>
              <w:ind w:left="0" w:right="0" w:hanging="0"/>
              <w:jc w:val="center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Директор департаменту</w:t>
            </w: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професійно-технічної освіти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300" w:after="0"/>
              <w:ind w:left="0" w:right="0" w:hanging="0"/>
              <w:jc w:val="right"/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</w:pPr>
            <w:r>
              <w:rPr/>
              <w:br/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</w:rPr>
              <w:t>В.В. Супрун</w:t>
            </w:r>
          </w:p>
        </w:tc>
      </w:tr>
    </w:tbl>
    <w:p>
      <w:pPr>
        <w:pStyle w:val="Style22"/>
        <w:rPr/>
      </w:pPr>
      <w:bookmarkStart w:id="119" w:name="n121"/>
      <w:bookmarkStart w:id="120" w:name="n121"/>
      <w:bookmarkEnd w:id="120"/>
      <w:r>
        <w:rPr/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0" w:after="150"/>
        <w:ind w:left="0" w:right="0" w:hanging="0"/>
        <w:jc w:val="both"/>
        <w:rPr/>
      </w:pPr>
      <w:bookmarkStart w:id="121" w:name="n120"/>
      <w:bookmarkStart w:id="122" w:name="n120"/>
      <w:bookmarkEnd w:id="122"/>
      <w:r>
        <w:rPr/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23" w:name="n112"/>
      <w:bookmarkStart w:id="124" w:name="n112"/>
      <w:bookmarkEnd w:id="124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4536"/>
      </w:tblGrid>
      <w:tr>
        <w:trPr>
          <w:cantSplit w:val="false"/>
        </w:trPr>
        <w:tc>
          <w:tcPr>
            <w:tcW w:w="51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left"/>
              <w:rPr/>
            </w:pPr>
            <w:r>
              <w:rPr/>
              <w:t>Додаток</w:t>
              <w:br/>
              <w:t>до Положення про Всеукраїнський</w:t>
              <w:br/>
              <w:t>інтерактивний конкурс</w:t>
              <w:br/>
              <w:t>"МАН-Юніор Дослідник"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450" w:right="45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bookmarkStart w:id="125" w:name="n113"/>
      <w:bookmarkEnd w:id="125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ЗАЯВКА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на участь у І етапі Всеукраїнського інтерактивного конкурсу "МАН-Юніор Дослідник"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</w:pPr>
      <w:bookmarkStart w:id="126" w:name="n114"/>
      <w:bookmarkEnd w:id="12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_________________________________________________________________</w:t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u w:val="none"/>
          <w:effect w:val="none"/>
        </w:rPr>
        <w:t>(найменування навчального закладу)</w:t>
      </w:r>
    </w:p>
    <w:p>
      <w:pPr>
        <w:pStyle w:val="Style16"/>
        <w:widowControl/>
        <w:pBdr>
          <w:top w:val="nil"/>
          <w:left w:val="nil"/>
          <w:bottom w:val="nil"/>
          <w:right w:val="nil"/>
        </w:pBdr>
        <w:spacing w:before="150" w:after="15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bookmarkStart w:id="127" w:name="n115"/>
      <w:bookmarkEnd w:id="127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просить дати дозвіл на участь команди у складі:</w:t>
      </w:r>
    </w:p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28" w:name="n116"/>
      <w:bookmarkStart w:id="129" w:name="n116"/>
      <w:bookmarkEnd w:id="129"/>
      <w:r>
        <w:rPr>
          <w:sz w:val="4"/>
          <w:szCs w:val="4"/>
        </w:rPr>
      </w:r>
    </w:p>
    <w:tbl>
      <w:tblPr>
        <w:tblW w:w="9638" w:type="dxa"/>
        <w:jc w:val="lef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  <w:right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353"/>
        <w:gridCol w:w="1515"/>
        <w:gridCol w:w="1110"/>
        <w:gridCol w:w="1147"/>
        <w:gridCol w:w="1311"/>
        <w:gridCol w:w="1511"/>
        <w:gridCol w:w="2691"/>
      </w:tblGrid>
      <w:tr>
        <w:trPr>
          <w:cantSplit w:val="fals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u w:val="none"/>
                <w:effect w:val="none"/>
              </w:rPr>
              <w:t>№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Найменування номінації конкурсу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Тема проекту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Прізвище, ім’я, по батькові учасника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Прізвище, ім’я, по батькові, посада керівника проекту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Контактний телефон, електронна адреса (за наявності) керівника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Найменування та місцезнаходження навчального закладу.</w:t>
            </w:r>
            <w:r>
              <w:rPr/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Клас.</w:t>
            </w:r>
            <w:r>
              <w:rPr/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Найменування територіального відділення МАНУ</w:t>
            </w:r>
          </w:p>
        </w:tc>
      </w:tr>
      <w:tr>
        <w:trPr>
          <w:cantSplit w:val="fals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</w:tr>
      <w:tr>
        <w:trPr>
          <w:cantSplit w:val="fals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</w:tr>
      <w:tr>
        <w:trPr>
          <w:cantSplit w:val="fals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</w:tr>
      <w:tr>
        <w:trPr>
          <w:cantSplit w:val="false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r>
          </w:p>
        </w:tc>
      </w:tr>
    </w:tbl>
    <w:p>
      <w:pPr>
        <w:pStyle w:val="Normal"/>
        <w:spacing w:before="0" w:after="0"/>
        <w:ind w:left="0" w:right="0" w:hanging="0"/>
        <w:rPr>
          <w:sz w:val="4"/>
          <w:szCs w:val="4"/>
        </w:rPr>
      </w:pPr>
      <w:bookmarkStart w:id="130" w:name="n117"/>
      <w:bookmarkStart w:id="131" w:name="n117"/>
      <w:bookmarkEnd w:id="131"/>
      <w:r>
        <w:rPr>
          <w:sz w:val="4"/>
          <w:szCs w:val="4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150"/>
        <w:gridCol w:w="2321"/>
        <w:gridCol w:w="3166"/>
      </w:tblGrid>
      <w:tr>
        <w:trPr>
          <w:cantSplit w:val="false"/>
        </w:trPr>
        <w:tc>
          <w:tcPr>
            <w:tcW w:w="41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/>
              <w:t>__________________________</w:t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(посада керівника закладу)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/>
              <w:t>_______________</w:t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(підпис)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pBdr>
                <w:top w:val="nil"/>
                <w:left w:val="nil"/>
                <w:bottom w:val="nil"/>
                <w:right w:val="nil"/>
              </w:pBdr>
              <w:spacing w:before="150" w:after="150"/>
              <w:ind w:left="0" w:right="0" w:hanging="0"/>
              <w:jc w:val="center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</w:pPr>
            <w:r>
              <w:rPr/>
              <w:t>_________________</w:t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u w:val="none"/>
                <w:effect w:val="none"/>
              </w:rPr>
              <w:t>(П.І.Б.)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paragraph" w:styleId="Style22">
    <w:name w:val="Горизонтальная линия"/>
    <w:basedOn w:val="Normal"/>
    <w:next w:val="Style16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zakonst.rada.gov.ua/images/gerb.gif" TargetMode="External"/><Relationship Id="rId3" Type="http://schemas.openxmlformats.org/officeDocument/2006/relationships/hyperlink" Target="https://zakon.rada.gov.ua/laws/show/1841-14" TargetMode="External"/><Relationship Id="rId4" Type="http://schemas.openxmlformats.org/officeDocument/2006/relationships/hyperlink" Target="https://zakon.rada.gov.ua/laws/show/2297-17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2020-04-10T16:29:14Z</dcterms:created>
  <dc:language>ru-RU</dc:language>
  <cp:revision>0</cp:revision>
</cp:coreProperties>
</file>